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2013/256 vom 25. Juni 2014</w:t>
      </w:r>
    </w:p>
    <w:p>
      <w:r>
        <w:t>Sg Versicherungsgericht, 2014-06-25, DE</w:t>
      </w:r>
    </w:p>
    <w:p>
      <w:r>
        <w:rPr>
          <w:b/>
        </w:rPr>
        <w:t xml:space="preserve">Quelle: </w:t>
      </w:r>
      <w:r>
        <w:t>https://mcp.opencaselaw.ch/entscheid/sg_publikationen_IV 2013_256</w:t>
      </w:r>
    </w:p>
    <w:p>
      <w:r>
        <w:t>FR: SG_VERSICHERUNGSGERICHT IV 2013/256 du 25 juin 2014</w:t>
      </w:r>
    </w:p>
    <w:p>
      <w:r>
        <w:t>IT: SG_VERSICHERUNGSGERICHT IV 2013/256 del 25 giugno 2014</w:t>
      </w:r>
    </w:p>
    <w:p>
      <w:pPr>
        <w:pStyle w:val="Heading2"/>
      </w:pPr>
      <w:r>
        <w:t>Regeste</w:t>
      </w:r>
    </w:p>
    <w:p>
      <w:r>
        <w:t>Art. 28 IVG und Art. 15 ff. IVG. Bestimmung Invaliditätsgrad nach der gemischten Methode. Anspruch auf Viertelsrente bejaht. Mangels subjektiver Eingliederungsfähigkeit Anspruch auf berufliche Massnahmen abgewiesen (Entscheid des Versicherungsgerichts des Kantons St. Gallen vom 25. Juni 2014, IV 2013/256).</w:t>
      </w:r>
    </w:p>
    <w:p>
      <w:pPr>
        <w:pStyle w:val="Heading2"/>
      </w:pPr>
      <w:r>
        <w:t>Erwägungen</w:t>
      </w:r>
    </w:p>
    <w:p>
      <w:r>
        <w:rPr>
          <w:b/>
        </w:rPr>
        <w:t>E. 8</w:t>
      </w:r>
    </w:p>
    <w:p>
      <w:r>
        <w:t>8.1  Nach dem Gesagten ist die Beschwerde gegen die Verfügung vom 8. Mai 2013 betreffend berufliche Massnahmen abzuweisen, soweit darauf einzutreten ist. 8.2  Die Beschwerde gegen die Rentenverfügung ist teilweise gutzuheissen und der Beschwerdeführerin ist ab 1. August 2004 eine Viertelsrente zuzusprechen. Zur Fest­setzung der Rentenhöhe ist die Sache an die Beschwerdegegnerin zurückzuweisen. 8.3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von einem vollständigen Obsiegen der Beschwerdeführerin auszugehen ist (Urteil des Bundesgerichts vom 25. Januar 2008, 9C_466/2007, E. 5 mit Hinweisen). Die Beschwerdeführerin unterliegt lediglich in einem relativ untergeordneten Punkt (berufliche Massnahmen), über den im Wesentlichen aufgrund der Beurteilung des Rentenanspruchs befunden werden konnte, weshalb bei den Kosten- und Entschädigungsfolgen auch insgesamt von einem vollständigen Obsiegen der Beschwerdeführerin auszugehen ist und die Beschwerdegegnerin die gesamten Gerichtskosten von Fr. 600.-- zu bezahlen hat. Der geleistete Kostenvorschuss ist der Beschwerdeführerin zurückzuerstatten. 8.4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unter Berücksichtigung des durch die Beschwerdegegnerin verursachten Mehraufwands wegen inkonsistenter Aktenführung (vgl. zur Rüge der Beschwerdeführerin siehe act. G 1, S. 4 oben) eine Parteientschädigung von Fr. 4'000.-- (inklusive Barauslagen und Mehrwertsteuer) als angemessen. Angesichts der Vorkenntnisse des langjährig betreuenden Rechtsvertreters rechtfertigt sich keine darüber hinausgehende Entschädigung, zumal nur der notwendige Aufwand angemessen zu entschädigen ist. Demgemäss hat das Versicherungsgericht entschieden: 1.    Die Beschwerde gegen die Verfügung vom 8. Mai 2013 betreffend berufliche Massnahmen wird abgewiesen, soweit darauf eingetreten wird. 2.      In teilweiser Gutheissung der Beschwerde wird die angefochtene Rentenver­fügung vom 8. Mai 2013 aufgehoben und der Beschwerdeführerin mit Wirkung ab 1. August 2004 eine Viertelsrente zugesprochen. Zur Festsetzung der Rentenhöhe wird die Sache an die Beschwerdegegnerin zurückgewiesen. 3.      Die Beschwerdegegnerin hat die Gerichtskosten von Fr. 600.-- zu bezahlen. Der geleistete Kostenvorschuss von Fr. 600.-- wird der Beschwerdeführerin zurück­erstattet. 4.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